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ORÇAMENTO</w:t>
      </w:r>
    </w:p>
    <w:p>
      <w:pPr>
        <w:jc w:val="center"/>
      </w:pPr>
      <w:r>
        <w:t xml:space="preserve">Nº 0042</w:t>
      </w:r>
    </w:p>
    <w:p>
      <w:pPr>
        <w:spacing w:after="240"/>
        <w:jc w:val="center"/>
      </w:pPr>
      <w:r>
        <w:t xml:space="preserve">Data: 10/06/2026</w:t>
      </w:r>
    </w:p>
    <w:p>
      <w:pPr>
        <w:spacing w:after="60"/>
      </w:pPr>
      <w:r>
        <w:rPr>
          <w:b/>
          <w:bCs/>
        </w:rPr>
        <w:t xml:space="preserve">Empresa: </w:t>
      </w:r>
      <w:r>
        <w:t xml:space="preserve">Reformas &amp; Pintura Horizonte — CNPJ: 12.345.678/0001-90 — Tel: (11) 98765-4321</w:t>
      </w:r>
    </w:p>
    <w:p>
      <w:pPr>
        <w:spacing w:after="60"/>
      </w:pPr>
      <w:r>
        <w:rPr>
          <w:b/>
          <w:bCs/>
        </w:rPr>
        <w:t xml:space="preserve">Cliente: </w:t>
      </w:r>
      <w:r>
        <w:t xml:space="preserve">João Pereira da Silva — CPF: 123.456.789-09 — Tel: (11) 91234-5678</w:t>
      </w:r>
    </w:p>
    <w:p>
      <w:pPr>
        <w:spacing w:after="80" w:before="200"/>
      </w:pPr>
      <w:r>
        <w:rPr>
          <w:b/>
          <w:bCs/>
        </w:rPr>
        <w:t xml:space="preserve">Itens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"/>
        <w:gridCol w:w="15"/>
        <w:gridCol w:w="15"/>
        <w:gridCol w:w="15"/>
      </w:tblGrid>
      <w:tr>
        <w:trPr>
          <w:tblHeader/>
        </w:trPr>
        <w:tc>
          <w:tcPr>
            <w:shd w:fill="F0F0F0"/>
          </w:tcPr>
          <w:p>
            <w:pPr>
              <w:jc w:val="left"/>
            </w:pPr>
            <w:r>
              <w:rPr>
                <w:b/>
                <w:bCs/>
              </w:rPr>
              <w:t xml:space="preserve">Descrição</w:t>
            </w:r>
          </w:p>
        </w:tc>
        <w:tc>
          <w:tcPr>
            <w:shd w:fill="F0F0F0"/>
          </w:tcPr>
          <w:p>
            <w:pPr>
              <w:jc w:val="center"/>
            </w:pPr>
            <w:r>
              <w:rPr>
                <w:b/>
                <w:bCs/>
              </w:rPr>
              <w:t xml:space="preserve">Qtd</w:t>
            </w:r>
          </w:p>
        </w:tc>
        <w:tc>
          <w:tcPr>
            <w:shd w:fill="F0F0F0"/>
          </w:tcPr>
          <w:p>
            <w:pPr>
              <w:jc w:val="right"/>
            </w:pPr>
            <w:r>
              <w:rPr>
                <w:b/>
                <w:bCs/>
              </w:rPr>
              <w:t xml:space="preserve">Valor Unit.</w:t>
            </w:r>
          </w:p>
        </w:tc>
        <w:tc>
          <w:tcPr>
            <w:shd w:fill="F0F0F0"/>
          </w:tcPr>
          <w:p>
            <w:pPr>
              <w:jc w:val="right"/>
            </w:pPr>
            <w:r>
              <w:rPr>
                <w:b/>
                <w:bCs/>
              </w:rPr>
              <w:t xml:space="preserve">Total</w:t>
            </w:r>
          </w:p>
        </w:tc>
      </w:tr>
      <w:tr>
        <w:tc>
          <w:p>
            <w:pPr>
              <w:jc w:val="left"/>
            </w:pPr>
            <w:r>
              <w:t xml:space="preserve">Pintura de parede interna (látex, 2 demãos) — 80 m²</w:t>
            </w:r>
          </w:p>
        </w:tc>
        <w:tc>
          <w:p>
            <w:pPr>
              <w:jc w:val="center"/>
            </w:pPr>
            <w:r>
              <w:t xml:space="preserve">80</w:t>
            </w:r>
          </w:p>
        </w:tc>
        <w:tc>
          <w:p>
            <w:pPr>
              <w:jc w:val="right"/>
            </w:pPr>
            <w:r>
              <w:t xml:space="preserve">R$ 28,00</w:t>
            </w:r>
          </w:p>
        </w:tc>
        <w:tc>
          <w:p>
            <w:pPr>
              <w:jc w:val="right"/>
            </w:pPr>
            <w:r>
              <w:t xml:space="preserve">R$ 2.240,00</w:t>
            </w:r>
          </w:p>
        </w:tc>
      </w:tr>
      <w:tr>
        <w:tc>
          <w:p>
            <w:pPr>
              <w:jc w:val="left"/>
            </w:pPr>
            <w:r>
              <w:t xml:space="preserve">Massa corrida e preparação de superfície — 80 m²</w:t>
            </w:r>
          </w:p>
        </w:tc>
        <w:tc>
          <w:p>
            <w:pPr>
              <w:jc w:val="center"/>
            </w:pPr>
            <w:r>
              <w:t xml:space="preserve">80</w:t>
            </w:r>
          </w:p>
        </w:tc>
        <w:tc>
          <w:p>
            <w:pPr>
              <w:jc w:val="right"/>
            </w:pPr>
            <w:r>
              <w:t xml:space="preserve">R$ 12,00</w:t>
            </w:r>
          </w:p>
        </w:tc>
        <w:tc>
          <w:p>
            <w:pPr>
              <w:jc w:val="right"/>
            </w:pPr>
            <w:r>
              <w:t xml:space="preserve">R$ 960,00</w:t>
            </w:r>
          </w:p>
        </w:tc>
      </w:tr>
      <w:tr>
        <w:tc>
          <w:p>
            <w:pPr>
              <w:jc w:val="left"/>
            </w:pPr>
            <w:r>
              <w:t xml:space="preserve">Tinta, massa e materiais de pintura</w:t>
            </w:r>
          </w:p>
        </w:tc>
        <w:tc>
          <w:p>
            <w:pPr>
              <w:jc w:val="center"/>
            </w:pPr>
            <w:r>
              <w:t xml:space="preserve">1</w:t>
            </w:r>
          </w:p>
        </w:tc>
        <w:tc>
          <w:p>
            <w:pPr>
              <w:jc w:val="right"/>
            </w:pPr>
            <w:r>
              <w:t xml:space="preserve">R$ 740,00</w:t>
            </w:r>
          </w:p>
        </w:tc>
        <w:tc>
          <w:p>
            <w:pPr>
              <w:jc w:val="right"/>
            </w:pPr>
            <w:r>
              <w:t xml:space="preserve">R$ 740,00</w:t>
            </w:r>
          </w:p>
        </w:tc>
      </w:tr>
    </w:tbl>
    <w:p>
      <w:pPr>
        <w:spacing w:after="120"/>
      </w:pPr>
    </w:p>
    <w:p>
      <w:pPr>
        <w:jc w:val="right"/>
      </w:pPr>
      <w:r>
        <w:t xml:space="preserve">Subtotal: R$ 3.940,00</w:t>
      </w:r>
    </w:p>
    <w:p>
      <w:pPr>
        <w:jc w:val="right"/>
      </w:pPr>
      <w:r>
        <w:t xml:space="preserve">Desconto: -R$ 140,00</w:t>
      </w:r>
    </w:p>
    <w:p>
      <w:pPr>
        <w:spacing w:after="200"/>
        <w:jc w:val="right"/>
      </w:pPr>
      <w:r>
        <w:rPr>
          <w:b/>
          <w:bCs/>
        </w:rPr>
        <w:t xml:space="preserve">Total: R$ 3.800,00</w:t>
      </w:r>
    </w:p>
    <w:p>
      <w:pPr>
        <w:spacing w:after="60"/>
      </w:pPr>
      <w:r>
        <w:rPr>
          <w:b/>
          <w:bCs/>
        </w:rPr>
        <w:t xml:space="preserve">Validade: </w:t>
      </w:r>
      <w:r>
        <w:t xml:space="preserve">15 dias</w:t>
      </w:r>
    </w:p>
    <w:p>
      <w:pPr>
        <w:spacing w:after="60"/>
      </w:pPr>
      <w:r>
        <w:rPr>
          <w:b/>
          <w:bCs/>
        </w:rPr>
        <w:t xml:space="preserve">Prazo de Entrega: </w:t>
      </w:r>
      <w:r>
        <w:t xml:space="preserve">5 dias úteis após o início</w:t>
      </w:r>
    </w:p>
    <w:p>
      <w:pPr>
        <w:spacing w:after="60"/>
      </w:pPr>
      <w:r>
        <w:rPr>
          <w:b/>
          <w:bCs/>
        </w:rPr>
        <w:t xml:space="preserve">Condições de Pagamento: </w:t>
      </w:r>
      <w:r>
        <w:t xml:space="preserve">50% na aprovação e 50% na entrega (Pix ou transferência)</w:t>
      </w:r>
    </w:p>
    <w:p>
      <w:pPr>
        <w:spacing w:after="60"/>
      </w:pPr>
      <w:r>
        <w:rPr>
          <w:b/>
          <w:bCs/>
        </w:rPr>
        <w:t xml:space="preserve">Observações: </w:t>
      </w:r>
      <w:r>
        <w:t xml:space="preserve">Mão de obra com garantia de 90 dias. Móveis e pisos protegidos durante a execução.</w:t>
      </w:r>
    </w:p>
    <w:p>
      <w:pPr>
        <w:spacing w:before="600"/>
        <w:jc w:val="center"/>
      </w:pPr>
      <w:r>
        <w:rPr>
          <w:b/>
          <w:bCs/>
        </w:rPr>
        <w:t xml:space="preserve">Reformas &amp; Pintura Horizonte</w:t>
      </w:r>
    </w:p>
    <w:p>
      <w:pPr>
        <w:jc w:val="center"/>
      </w:pPr>
      <w:r>
        <w:rPr>
          <w:color w:val="666666"/>
          <w:sz w:val="18"/>
          <w:szCs w:val="18"/>
        </w:rPr>
        <w:t xml:space="preserve">CNPJ: 12.345.678/0001-90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6"/>
      </w:pBdr>
      <w:jc w:val="center"/>
    </w:pPr>
    <w:r>
      <w:rPr>
        <w:color w:val="888888"/>
        <w:sz w:val="16"/>
        <w:szCs w:val="16"/>
      </w:rPr>
      <w:t xml:space="preserve">Documento gerado gratuitamente em recibofacil.com.br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2026-06-19T00:06:35.683Z</dcterms:created>
  <dcterms:modified xsi:type="dcterms:W3CDTF">2026-06-19T00:06:35.683Z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